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AD05E7F" w14:textId="77777777" w:rsidR="005C1A85" w:rsidRDefault="005C1A85">
      <w:pPr>
        <w:jc w:val="center"/>
      </w:pPr>
    </w:p>
    <w:p w14:paraId="66C60893" w14:textId="77777777" w:rsidR="005C1A85" w:rsidRDefault="005C1A85">
      <w:pPr>
        <w:jc w:val="center"/>
      </w:pPr>
    </w:p>
    <w:p w14:paraId="5643D275" w14:textId="77777777" w:rsidR="005C1A85" w:rsidRDefault="005C1A85">
      <w:pPr>
        <w:jc w:val="center"/>
      </w:pPr>
    </w:p>
    <w:p w14:paraId="02EDB14B" w14:textId="77777777" w:rsidR="005C1A85" w:rsidRDefault="005C1A85"/>
    <w:p w14:paraId="73B7351A" w14:textId="77777777" w:rsidR="005C1A85" w:rsidRDefault="005C1A85">
      <w:pPr>
        <w:jc w:val="center"/>
      </w:pPr>
    </w:p>
    <w:p w14:paraId="567D22C1" w14:textId="77777777" w:rsidR="005C1A85" w:rsidRDefault="005C1A85">
      <w:pPr>
        <w:jc w:val="center"/>
      </w:pPr>
    </w:p>
    <w:p w14:paraId="19AB1DB5" w14:textId="77777777" w:rsidR="005C1A85" w:rsidRDefault="005C1A85">
      <w:pPr>
        <w:jc w:val="center"/>
      </w:pPr>
    </w:p>
    <w:p w14:paraId="549F6931" w14:textId="77777777" w:rsidR="005C1A85" w:rsidRDefault="00121AC6">
      <w:pPr>
        <w:jc w:val="center"/>
      </w:pPr>
      <w:r>
        <w:rPr>
          <w:noProof/>
        </w:rPr>
        <w:drawing>
          <wp:inline distT="114300" distB="114300" distL="114300" distR="114300" wp14:anchorId="6629C480" wp14:editId="6B64531D">
            <wp:extent cx="3690938" cy="712556"/>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3690938" cy="712556"/>
                    </a:xfrm>
                    <a:prstGeom prst="rect">
                      <a:avLst/>
                    </a:prstGeom>
                    <a:ln/>
                  </pic:spPr>
                </pic:pic>
              </a:graphicData>
            </a:graphic>
          </wp:inline>
        </w:drawing>
      </w:r>
    </w:p>
    <w:p w14:paraId="02935EBC" w14:textId="77777777" w:rsidR="005C1A85" w:rsidRDefault="005C1A85">
      <w:pPr>
        <w:jc w:val="center"/>
      </w:pPr>
    </w:p>
    <w:p w14:paraId="6AA61548" w14:textId="77777777" w:rsidR="005C1A85" w:rsidRDefault="005C1A85">
      <w:pPr>
        <w:jc w:val="center"/>
      </w:pPr>
    </w:p>
    <w:p w14:paraId="008B53D6" w14:textId="77777777" w:rsidR="005C1A85" w:rsidRDefault="005C1A85">
      <w:pPr>
        <w:jc w:val="center"/>
      </w:pPr>
    </w:p>
    <w:p w14:paraId="7C1BF9B4" w14:textId="77777777" w:rsidR="005C1A85" w:rsidRDefault="00121AC6">
      <w:pPr>
        <w:pStyle w:val="Title"/>
        <w:rPr>
          <w:color w:val="009872"/>
        </w:rPr>
      </w:pPr>
      <w:bookmarkStart w:id="0" w:name="_agi6vwxvqgdp" w:colFirst="0" w:colLast="0"/>
      <w:bookmarkEnd w:id="0"/>
      <w:r>
        <w:rPr>
          <w:color w:val="009872"/>
        </w:rPr>
        <w:t>PROPOSAL FOR ACEC-SC</w:t>
      </w:r>
    </w:p>
    <w:p w14:paraId="58475ABD" w14:textId="77777777" w:rsidR="005C1A85" w:rsidRDefault="005C1A85">
      <w:pPr>
        <w:pBdr>
          <w:top w:val="nil"/>
          <w:left w:val="nil"/>
          <w:bottom w:val="nil"/>
          <w:right w:val="nil"/>
          <w:between w:val="nil"/>
        </w:pBdr>
        <w:jc w:val="center"/>
      </w:pPr>
    </w:p>
    <w:p w14:paraId="4470DCB3" w14:textId="77777777" w:rsidR="005C1A85" w:rsidRDefault="005C1A85">
      <w:pPr>
        <w:pBdr>
          <w:top w:val="nil"/>
          <w:left w:val="nil"/>
          <w:bottom w:val="nil"/>
          <w:right w:val="nil"/>
          <w:between w:val="nil"/>
        </w:pBdr>
        <w:jc w:val="center"/>
      </w:pPr>
    </w:p>
    <w:p w14:paraId="38CFA947" w14:textId="77777777" w:rsidR="005C1A85" w:rsidRDefault="005C1A85">
      <w:pPr>
        <w:pBdr>
          <w:top w:val="nil"/>
          <w:left w:val="nil"/>
          <w:bottom w:val="nil"/>
          <w:right w:val="nil"/>
          <w:between w:val="nil"/>
        </w:pBdr>
        <w:jc w:val="center"/>
      </w:pPr>
    </w:p>
    <w:p w14:paraId="119DD200" w14:textId="77777777" w:rsidR="005C1A85" w:rsidRDefault="005C1A85">
      <w:pPr>
        <w:pBdr>
          <w:top w:val="nil"/>
          <w:left w:val="nil"/>
          <w:bottom w:val="nil"/>
          <w:right w:val="nil"/>
          <w:between w:val="nil"/>
        </w:pBdr>
        <w:jc w:val="center"/>
      </w:pPr>
    </w:p>
    <w:p w14:paraId="6E8E0F3B" w14:textId="77777777" w:rsidR="005C1A85" w:rsidRDefault="005C1A85">
      <w:pPr>
        <w:pBdr>
          <w:top w:val="nil"/>
          <w:left w:val="nil"/>
          <w:bottom w:val="nil"/>
          <w:right w:val="nil"/>
          <w:between w:val="nil"/>
        </w:pBdr>
        <w:jc w:val="center"/>
      </w:pPr>
    </w:p>
    <w:p w14:paraId="5AEB4457" w14:textId="77777777" w:rsidR="005C1A85" w:rsidRDefault="005C1A85">
      <w:pPr>
        <w:pBdr>
          <w:top w:val="nil"/>
          <w:left w:val="nil"/>
          <w:bottom w:val="nil"/>
          <w:right w:val="nil"/>
          <w:between w:val="nil"/>
        </w:pBdr>
        <w:jc w:val="center"/>
      </w:pPr>
    </w:p>
    <w:p w14:paraId="0EA9ABD4" w14:textId="77777777" w:rsidR="005C1A85" w:rsidRDefault="005C1A85">
      <w:pPr>
        <w:pBdr>
          <w:top w:val="nil"/>
          <w:left w:val="nil"/>
          <w:bottom w:val="nil"/>
          <w:right w:val="nil"/>
          <w:between w:val="nil"/>
        </w:pBdr>
      </w:pPr>
    </w:p>
    <w:p w14:paraId="1E319EE9" w14:textId="77777777" w:rsidR="005C1A85" w:rsidRDefault="005C1A85">
      <w:pPr>
        <w:pBdr>
          <w:top w:val="nil"/>
          <w:left w:val="nil"/>
          <w:bottom w:val="nil"/>
          <w:right w:val="nil"/>
          <w:between w:val="nil"/>
        </w:pBdr>
      </w:pPr>
    </w:p>
    <w:p w14:paraId="70AA21A4" w14:textId="77777777" w:rsidR="005C1A85" w:rsidRDefault="005C1A85">
      <w:pPr>
        <w:pBdr>
          <w:top w:val="nil"/>
          <w:left w:val="nil"/>
          <w:bottom w:val="nil"/>
          <w:right w:val="nil"/>
          <w:between w:val="nil"/>
        </w:pBdr>
      </w:pPr>
    </w:p>
    <w:p w14:paraId="49D977FB" w14:textId="77777777" w:rsidR="005C1A85" w:rsidRDefault="005C1A85">
      <w:pPr>
        <w:pBdr>
          <w:top w:val="nil"/>
          <w:left w:val="nil"/>
          <w:bottom w:val="nil"/>
          <w:right w:val="nil"/>
          <w:between w:val="nil"/>
        </w:pBdr>
      </w:pPr>
    </w:p>
    <w:p w14:paraId="36DCA523" w14:textId="77777777" w:rsidR="005C1A85" w:rsidRDefault="005C1A85">
      <w:pPr>
        <w:pBdr>
          <w:top w:val="nil"/>
          <w:left w:val="nil"/>
          <w:bottom w:val="nil"/>
          <w:right w:val="nil"/>
          <w:between w:val="nil"/>
        </w:pBdr>
      </w:pPr>
    </w:p>
    <w:p w14:paraId="49B7F818" w14:textId="77777777" w:rsidR="005C1A85" w:rsidRDefault="00121AC6">
      <w:pPr>
        <w:pBdr>
          <w:top w:val="nil"/>
          <w:left w:val="nil"/>
          <w:bottom w:val="nil"/>
          <w:right w:val="nil"/>
          <w:between w:val="nil"/>
        </w:pBdr>
        <w:jc w:val="center"/>
      </w:pPr>
      <w:r>
        <w:t>Prepared for Adam B. Jones</w:t>
      </w:r>
    </w:p>
    <w:p w14:paraId="31B59C64" w14:textId="77777777" w:rsidR="005C1A85" w:rsidRDefault="00121AC6">
      <w:pPr>
        <w:pBdr>
          <w:top w:val="nil"/>
          <w:left w:val="nil"/>
          <w:bottom w:val="nil"/>
          <w:right w:val="nil"/>
          <w:between w:val="nil"/>
        </w:pBdr>
        <w:jc w:val="center"/>
        <w:rPr>
          <w:color w:val="2AD24B"/>
        </w:rPr>
      </w:pPr>
      <w:r>
        <w:t xml:space="preserve">Created by </w:t>
      </w:r>
      <w:r>
        <w:rPr>
          <w:color w:val="009872"/>
        </w:rPr>
        <w:t>Chernoff Newman</w:t>
      </w:r>
      <w:r>
        <w:br w:type="page"/>
      </w:r>
    </w:p>
    <w:p w14:paraId="1F3D82D8" w14:textId="77777777" w:rsidR="005C1A85" w:rsidRDefault="00121AC6">
      <w:pPr>
        <w:rPr>
          <w:rFonts w:ascii="Playfair Display" w:eastAsia="Playfair Display" w:hAnsi="Playfair Display" w:cs="Playfair Display"/>
          <w:b/>
          <w:color w:val="009872"/>
          <w:sz w:val="40"/>
          <w:szCs w:val="40"/>
        </w:rPr>
      </w:pPr>
      <w:r>
        <w:rPr>
          <w:rFonts w:ascii="Playfair Display" w:eastAsia="Playfair Display" w:hAnsi="Playfair Display" w:cs="Playfair Display"/>
          <w:b/>
          <w:color w:val="009872"/>
          <w:sz w:val="40"/>
          <w:szCs w:val="40"/>
        </w:rPr>
        <w:lastRenderedPageBreak/>
        <w:t>CHERNOFF NEWMAN OVERVIEW</w:t>
      </w:r>
    </w:p>
    <w:p w14:paraId="15D15C22" w14:textId="77777777" w:rsidR="005C1A85" w:rsidRDefault="00121AC6">
      <w:pPr>
        <w:pStyle w:val="Heading3"/>
        <w:keepNext w:val="0"/>
        <w:keepLines w:val="0"/>
        <w:widowControl/>
        <w:spacing w:before="240" w:after="240" w:line="264" w:lineRule="auto"/>
        <w:rPr>
          <w:rFonts w:ascii="Calibri" w:eastAsia="Calibri" w:hAnsi="Calibri" w:cs="Calibri"/>
          <w:b w:val="0"/>
          <w:sz w:val="22"/>
          <w:szCs w:val="22"/>
        </w:rPr>
      </w:pPr>
      <w:r>
        <w:rPr>
          <w:rFonts w:ascii="Calibri" w:eastAsia="Calibri" w:hAnsi="Calibri" w:cs="Calibri"/>
          <w:b w:val="0"/>
          <w:sz w:val="22"/>
          <w:szCs w:val="22"/>
        </w:rPr>
        <w:t xml:space="preserve">As an integrated strategic communications firm, we operate with a multi-channel approach, focusing on engaging target audiences across multiple platforms for all of our clients. </w:t>
      </w:r>
      <w:r>
        <w:rPr>
          <w:rFonts w:ascii="Calibri" w:eastAsia="Calibri" w:hAnsi="Calibri" w:cs="Calibri"/>
          <w:b w:val="0"/>
          <w:sz w:val="22"/>
          <w:szCs w:val="22"/>
        </w:rPr>
        <w:tab/>
      </w:r>
    </w:p>
    <w:p w14:paraId="1BC838A7" w14:textId="77777777" w:rsidR="005C1A85" w:rsidRDefault="00121AC6">
      <w:pPr>
        <w:pStyle w:val="Heading3"/>
        <w:keepNext w:val="0"/>
        <w:keepLines w:val="0"/>
        <w:widowControl/>
        <w:spacing w:before="240" w:after="240" w:line="264" w:lineRule="auto"/>
        <w:rPr>
          <w:rFonts w:ascii="Calibri" w:eastAsia="Calibri" w:hAnsi="Calibri" w:cs="Calibri"/>
          <w:b w:val="0"/>
          <w:sz w:val="22"/>
          <w:szCs w:val="22"/>
        </w:rPr>
      </w:pPr>
      <w:r>
        <w:rPr>
          <w:rFonts w:ascii="Calibri" w:eastAsia="Calibri" w:hAnsi="Calibri" w:cs="Calibri"/>
          <w:b w:val="0"/>
          <w:sz w:val="22"/>
          <w:szCs w:val="22"/>
        </w:rPr>
        <w:t>At Chernoff Newman, we work to understand your issue and the overall landscape so that we may craft a strategic communications plan that connects what you do and why you matter to your target audience. Our approach is integrated - so whether it is through developing strategic communications campaigns, public relations, public affairs,  branding, digital experiences, social media campaigns, advertising or media planning and placement – our seasoned strategists and communications experts are relentless in their approach.</w:t>
      </w:r>
    </w:p>
    <w:p w14:paraId="6B323043" w14:textId="77777777" w:rsidR="005C1A85" w:rsidRDefault="00121AC6">
      <w:pPr>
        <w:pStyle w:val="Heading3"/>
        <w:keepNext w:val="0"/>
        <w:keepLines w:val="0"/>
        <w:widowControl/>
        <w:spacing w:before="240" w:after="240" w:line="264" w:lineRule="auto"/>
        <w:rPr>
          <w:rFonts w:ascii="Calibri" w:eastAsia="Calibri" w:hAnsi="Calibri" w:cs="Calibri"/>
          <w:b w:val="0"/>
          <w:sz w:val="22"/>
          <w:szCs w:val="22"/>
        </w:rPr>
      </w:pPr>
      <w:bookmarkStart w:id="1" w:name="_a35l5mfj29t0" w:colFirst="0" w:colLast="0"/>
      <w:bookmarkEnd w:id="1"/>
      <w:r>
        <w:rPr>
          <w:rFonts w:ascii="Calibri" w:eastAsia="Calibri" w:hAnsi="Calibri" w:cs="Calibri"/>
          <w:b w:val="0"/>
          <w:sz w:val="22"/>
          <w:szCs w:val="22"/>
        </w:rPr>
        <w:t>Together, we work to discover, create, connect and inspire your target audiences to the benefit of your organization. And we measure and optimize our efforts along the way.</w:t>
      </w:r>
    </w:p>
    <w:p w14:paraId="7F72731F" w14:textId="77777777" w:rsidR="005C1A85" w:rsidRDefault="00121AC6">
      <w:pPr>
        <w:widowControl/>
        <w:spacing w:before="0" w:after="0"/>
        <w:rPr>
          <w:rFonts w:ascii="Calibri" w:eastAsia="Calibri" w:hAnsi="Calibri" w:cs="Calibri"/>
          <w:sz w:val="22"/>
          <w:szCs w:val="22"/>
        </w:rPr>
      </w:pPr>
      <w:r>
        <w:rPr>
          <w:rFonts w:ascii="Calibri" w:eastAsia="Calibri" w:hAnsi="Calibri" w:cs="Calibri"/>
          <w:sz w:val="22"/>
          <w:szCs w:val="22"/>
        </w:rPr>
        <w:t xml:space="preserve">Chernoff Newman has offices in Columbia, S.C., Charleston, S.C., Charlotte, N.C. and Orlando F.L.  </w:t>
      </w:r>
      <w:r>
        <w:rPr>
          <w:rFonts w:ascii="Calibri" w:eastAsia="Calibri" w:hAnsi="Calibri" w:cs="Calibri"/>
          <w:sz w:val="22"/>
          <w:szCs w:val="22"/>
        </w:rPr>
        <w:tab/>
      </w:r>
      <w:r>
        <w:rPr>
          <w:rFonts w:ascii="Calibri" w:eastAsia="Calibri" w:hAnsi="Calibri" w:cs="Calibri"/>
          <w:sz w:val="22"/>
          <w:szCs w:val="22"/>
        </w:rPr>
        <w:tab/>
      </w:r>
    </w:p>
    <w:p w14:paraId="5A8635B5" w14:textId="77777777" w:rsidR="002B60E5" w:rsidRDefault="002B60E5" w:rsidP="002B60E5">
      <w:pPr>
        <w:widowControl/>
        <w:spacing w:before="240" w:after="240"/>
        <w:rPr>
          <w:rFonts w:ascii="Calibri" w:eastAsia="Calibri" w:hAnsi="Calibri" w:cs="Calibri"/>
          <w:sz w:val="22"/>
          <w:szCs w:val="22"/>
        </w:rPr>
      </w:pPr>
      <w:r>
        <w:rPr>
          <w:rFonts w:ascii="Calibri" w:eastAsia="Calibri" w:hAnsi="Calibri" w:cs="Calibri"/>
          <w:sz w:val="22"/>
          <w:szCs w:val="22"/>
        </w:rPr>
        <w:t>Based on our current understanding of ACEC-SC’s strategic initiatives, potential communications recommendations and executions could include the following:</w:t>
      </w:r>
    </w:p>
    <w:p w14:paraId="69C74861" w14:textId="77777777" w:rsidR="002B60E5" w:rsidRDefault="002B60E5" w:rsidP="002B60E5">
      <w:pPr>
        <w:widowControl/>
        <w:spacing w:before="240" w:after="240"/>
        <w:ind w:firstLine="720"/>
        <w:rPr>
          <w:rFonts w:ascii="Calibri" w:eastAsia="Calibri" w:hAnsi="Calibri" w:cs="Calibri"/>
          <w:sz w:val="22"/>
          <w:szCs w:val="22"/>
        </w:rPr>
      </w:pPr>
      <w:r>
        <w:rPr>
          <w:rFonts w:ascii="Calibri" w:eastAsia="Calibri" w:hAnsi="Calibri" w:cs="Calibri"/>
          <w:color w:val="009872"/>
          <w:sz w:val="22"/>
          <w:szCs w:val="22"/>
        </w:rPr>
        <w:t>STRATEGIC PLANNING</w:t>
      </w:r>
    </w:p>
    <w:p w14:paraId="1D309319" w14:textId="77777777" w:rsidR="002B60E5" w:rsidRDefault="002B60E5" w:rsidP="002B60E5">
      <w:pPr>
        <w:widowControl/>
        <w:spacing w:before="240" w:after="240"/>
        <w:ind w:left="720"/>
        <w:rPr>
          <w:rFonts w:ascii="Calibri" w:eastAsia="Calibri" w:hAnsi="Calibri" w:cs="Calibri"/>
          <w:sz w:val="22"/>
          <w:szCs w:val="22"/>
        </w:rPr>
      </w:pPr>
      <w:r>
        <w:rPr>
          <w:rFonts w:ascii="Calibri" w:eastAsia="Calibri" w:hAnsi="Calibri" w:cs="Calibri"/>
          <w:sz w:val="22"/>
          <w:szCs w:val="22"/>
        </w:rPr>
        <w:t xml:space="preserve">Strategic planning is the foundation of Chernoff Newman’s internal operations. Professional staff members will regularly and routinely participate in strategic planning with clients whose operations are local, regional, national and international in scope. </w:t>
      </w:r>
    </w:p>
    <w:p w14:paraId="6B87E219" w14:textId="77777777" w:rsidR="002B60E5" w:rsidRDefault="002B60E5" w:rsidP="002B60E5">
      <w:pPr>
        <w:widowControl/>
        <w:spacing w:before="240" w:after="240"/>
        <w:ind w:firstLine="720"/>
        <w:rPr>
          <w:rFonts w:ascii="Calibri" w:eastAsia="Calibri" w:hAnsi="Calibri" w:cs="Calibri"/>
          <w:sz w:val="22"/>
          <w:szCs w:val="22"/>
        </w:rPr>
      </w:pPr>
      <w:r>
        <w:rPr>
          <w:rFonts w:ascii="Calibri" w:eastAsia="Calibri" w:hAnsi="Calibri" w:cs="Calibri"/>
          <w:color w:val="009872"/>
          <w:sz w:val="22"/>
          <w:szCs w:val="22"/>
        </w:rPr>
        <w:t>PUBLIC AFFAIRS</w:t>
      </w:r>
      <w:r>
        <w:rPr>
          <w:rFonts w:ascii="Calibri" w:eastAsia="Calibri" w:hAnsi="Calibri" w:cs="Calibri"/>
          <w:color w:val="00FFFF"/>
          <w:sz w:val="22"/>
          <w:szCs w:val="22"/>
        </w:rPr>
        <w:t xml:space="preserve"> </w:t>
      </w:r>
    </w:p>
    <w:p w14:paraId="5E5D0C05" w14:textId="77777777" w:rsidR="00731214" w:rsidRDefault="002B60E5" w:rsidP="002B60E5">
      <w:pPr>
        <w:widowControl/>
        <w:spacing w:before="240" w:after="240"/>
        <w:ind w:left="720"/>
        <w:rPr>
          <w:rFonts w:ascii="Calibri" w:eastAsia="Calibri" w:hAnsi="Calibri" w:cs="Calibri"/>
          <w:sz w:val="22"/>
          <w:szCs w:val="22"/>
        </w:rPr>
      </w:pPr>
      <w:r>
        <w:rPr>
          <w:rFonts w:ascii="Calibri" w:eastAsia="Calibri" w:hAnsi="Calibri" w:cs="Calibri"/>
          <w:sz w:val="22"/>
          <w:szCs w:val="22"/>
        </w:rPr>
        <w:t xml:space="preserve">With deep experience in public relations and integrated communications, Chernoff Newman has earned a reputation as one of the region’s most effective and most successful communications agencies, and nowhere is this </w:t>
      </w:r>
      <w:proofErr w:type="gramStart"/>
      <w:r>
        <w:rPr>
          <w:rFonts w:ascii="Calibri" w:eastAsia="Calibri" w:hAnsi="Calibri" w:cs="Calibri"/>
          <w:sz w:val="22"/>
          <w:szCs w:val="22"/>
        </w:rPr>
        <w:t>more true</w:t>
      </w:r>
      <w:proofErr w:type="gramEnd"/>
      <w:r>
        <w:rPr>
          <w:rFonts w:ascii="Calibri" w:eastAsia="Calibri" w:hAnsi="Calibri" w:cs="Calibri"/>
          <w:sz w:val="22"/>
          <w:szCs w:val="22"/>
        </w:rPr>
        <w:t xml:space="preserve"> than in the area of public affairs. Whether it’s working with government agencies – federal, state and local – or waging referendum campaigns on a broad range of issues or developing and implementing legislative initiatives, Chernoff Newman has the expertise and experience to deliver over and over again. We know how to develop a strong and active grassroots network and how to plug them into the process at the most appropriate times. We know how to develop messages that help our clients achieve their goals with the public and the General Assembly alike. </w:t>
      </w:r>
    </w:p>
    <w:p w14:paraId="472918B0" w14:textId="2C65F462" w:rsidR="002B60E5" w:rsidRPr="00731214" w:rsidRDefault="002B60E5" w:rsidP="002B60E5">
      <w:pPr>
        <w:widowControl/>
        <w:spacing w:before="240" w:after="240"/>
        <w:ind w:left="720"/>
        <w:rPr>
          <w:rFonts w:ascii="Calibri" w:eastAsia="Calibri" w:hAnsi="Calibri" w:cs="Calibri"/>
          <w:sz w:val="22"/>
          <w:szCs w:val="22"/>
        </w:rPr>
      </w:pPr>
      <w:r>
        <w:rPr>
          <w:rFonts w:ascii="Calibri" w:eastAsia="Calibri" w:hAnsi="Calibri" w:cs="Calibri"/>
          <w:color w:val="009872"/>
          <w:sz w:val="22"/>
          <w:szCs w:val="22"/>
        </w:rPr>
        <w:t>PUBLIC RELATIONS AND CRISIS MANAGEMENT</w:t>
      </w:r>
    </w:p>
    <w:p w14:paraId="0EA4EA83" w14:textId="77777777" w:rsidR="002B60E5" w:rsidRDefault="002B60E5" w:rsidP="002B60E5">
      <w:pPr>
        <w:widowControl/>
        <w:spacing w:before="240" w:after="240"/>
        <w:ind w:left="720"/>
        <w:rPr>
          <w:rFonts w:ascii="Calibri" w:eastAsia="Calibri" w:hAnsi="Calibri" w:cs="Calibri"/>
          <w:sz w:val="22"/>
          <w:szCs w:val="22"/>
        </w:rPr>
      </w:pPr>
      <w:r>
        <w:rPr>
          <w:rFonts w:ascii="Calibri" w:eastAsia="Calibri" w:hAnsi="Calibri" w:cs="Calibri"/>
          <w:sz w:val="22"/>
          <w:szCs w:val="22"/>
        </w:rPr>
        <w:t xml:space="preserve"> As an integrated marketing communications firm, Chernoff Newman works with our clients to create and execute highly effective public relations programs. Our public relations professionals have both the background and expertise to provide public relations counsel, produce and disseminate a variety of messages via multiple media channels and serve as the liaison between the media and our clients. Potential strategies for ACEC-SC include:</w:t>
      </w:r>
    </w:p>
    <w:p w14:paraId="67C55D82"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 xml:space="preserve">&gt; </w:t>
      </w:r>
      <w:r>
        <w:rPr>
          <w:rFonts w:ascii="Calibri" w:eastAsia="Calibri" w:hAnsi="Calibri" w:cs="Calibri"/>
          <w:sz w:val="22"/>
          <w:szCs w:val="22"/>
        </w:rPr>
        <w:t>Media relations</w:t>
      </w:r>
    </w:p>
    <w:p w14:paraId="19A12DBA"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&gt;</w:t>
      </w:r>
      <w:r>
        <w:rPr>
          <w:rFonts w:ascii="Calibri" w:eastAsia="Calibri" w:hAnsi="Calibri" w:cs="Calibri"/>
          <w:b/>
          <w:sz w:val="22"/>
          <w:szCs w:val="22"/>
        </w:rPr>
        <w:t xml:space="preserve"> </w:t>
      </w:r>
      <w:r>
        <w:rPr>
          <w:rFonts w:ascii="Calibri" w:eastAsia="Calibri" w:hAnsi="Calibri" w:cs="Calibri"/>
          <w:sz w:val="22"/>
          <w:szCs w:val="22"/>
        </w:rPr>
        <w:t>Community relations</w:t>
      </w:r>
    </w:p>
    <w:p w14:paraId="576408D1"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lastRenderedPageBreak/>
        <w:t>&gt;</w:t>
      </w:r>
      <w:r>
        <w:rPr>
          <w:rFonts w:ascii="Calibri" w:eastAsia="Calibri" w:hAnsi="Calibri" w:cs="Calibri"/>
          <w:b/>
          <w:sz w:val="22"/>
          <w:szCs w:val="22"/>
        </w:rPr>
        <w:t xml:space="preserve"> </w:t>
      </w:r>
      <w:r>
        <w:rPr>
          <w:rFonts w:ascii="Calibri" w:eastAsia="Calibri" w:hAnsi="Calibri" w:cs="Calibri"/>
          <w:sz w:val="22"/>
          <w:szCs w:val="22"/>
        </w:rPr>
        <w:t>Issues management</w:t>
      </w:r>
    </w:p>
    <w:p w14:paraId="33B3285F"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 xml:space="preserve">&gt; </w:t>
      </w:r>
      <w:r>
        <w:rPr>
          <w:rFonts w:ascii="Calibri" w:eastAsia="Calibri" w:hAnsi="Calibri" w:cs="Calibri"/>
          <w:sz w:val="22"/>
          <w:szCs w:val="22"/>
        </w:rPr>
        <w:t>Crisis communications</w:t>
      </w:r>
    </w:p>
    <w:p w14:paraId="7B20944F"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&gt;</w:t>
      </w:r>
      <w:r>
        <w:rPr>
          <w:rFonts w:ascii="Calibri" w:eastAsia="Calibri" w:hAnsi="Calibri" w:cs="Calibri"/>
          <w:b/>
          <w:sz w:val="22"/>
          <w:szCs w:val="22"/>
        </w:rPr>
        <w:t xml:space="preserve"> </w:t>
      </w:r>
      <w:r>
        <w:rPr>
          <w:rFonts w:ascii="Calibri" w:eastAsia="Calibri" w:hAnsi="Calibri" w:cs="Calibri"/>
          <w:sz w:val="22"/>
          <w:szCs w:val="22"/>
        </w:rPr>
        <w:t>Internal communications</w:t>
      </w:r>
    </w:p>
    <w:p w14:paraId="2BE685B3"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&gt;</w:t>
      </w:r>
      <w:r>
        <w:rPr>
          <w:rFonts w:ascii="Calibri" w:eastAsia="Calibri" w:hAnsi="Calibri" w:cs="Calibri"/>
          <w:b/>
          <w:sz w:val="22"/>
          <w:szCs w:val="22"/>
        </w:rPr>
        <w:t xml:space="preserve"> </w:t>
      </w:r>
      <w:r>
        <w:rPr>
          <w:rFonts w:ascii="Calibri" w:eastAsia="Calibri" w:hAnsi="Calibri" w:cs="Calibri"/>
          <w:sz w:val="22"/>
          <w:szCs w:val="22"/>
        </w:rPr>
        <w:t xml:space="preserve">Press conferences and media tours </w:t>
      </w:r>
    </w:p>
    <w:p w14:paraId="45A3E630"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&gt;</w:t>
      </w:r>
      <w:r>
        <w:rPr>
          <w:rFonts w:ascii="Calibri" w:eastAsia="Calibri" w:hAnsi="Calibri" w:cs="Calibri"/>
          <w:b/>
          <w:sz w:val="22"/>
          <w:szCs w:val="22"/>
        </w:rPr>
        <w:t xml:space="preserve"> </w:t>
      </w:r>
      <w:r>
        <w:rPr>
          <w:rFonts w:ascii="Calibri" w:eastAsia="Calibri" w:hAnsi="Calibri" w:cs="Calibri"/>
          <w:sz w:val="22"/>
          <w:szCs w:val="22"/>
        </w:rPr>
        <w:t>Editorial board meetings</w:t>
      </w:r>
    </w:p>
    <w:p w14:paraId="3BC2A830"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 xml:space="preserve">&gt; </w:t>
      </w:r>
      <w:r>
        <w:rPr>
          <w:rFonts w:ascii="Calibri" w:eastAsia="Calibri" w:hAnsi="Calibri" w:cs="Calibri"/>
          <w:sz w:val="22"/>
          <w:szCs w:val="22"/>
        </w:rPr>
        <w:t>Event planning and coordination</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35BB10BB"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 xml:space="preserve">&gt; </w:t>
      </w:r>
      <w:r>
        <w:rPr>
          <w:rFonts w:ascii="Calibri" w:eastAsia="Calibri" w:hAnsi="Calibri" w:cs="Calibri"/>
          <w:sz w:val="22"/>
          <w:szCs w:val="22"/>
        </w:rPr>
        <w:t>E-messaging strategy, development and distribution</w:t>
      </w:r>
      <w:r>
        <w:rPr>
          <w:rFonts w:ascii="Calibri" w:eastAsia="Calibri" w:hAnsi="Calibri" w:cs="Calibri"/>
          <w:sz w:val="22"/>
          <w:szCs w:val="22"/>
        </w:rPr>
        <w:tab/>
      </w:r>
      <w:r>
        <w:rPr>
          <w:rFonts w:ascii="Calibri" w:eastAsia="Calibri" w:hAnsi="Calibri" w:cs="Calibri"/>
          <w:sz w:val="22"/>
          <w:szCs w:val="22"/>
        </w:rPr>
        <w:tab/>
      </w:r>
    </w:p>
    <w:p w14:paraId="647DA0DC"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&gt;</w:t>
      </w:r>
      <w:r>
        <w:rPr>
          <w:rFonts w:ascii="Calibri" w:eastAsia="Calibri" w:hAnsi="Calibri" w:cs="Calibri"/>
          <w:b/>
          <w:sz w:val="22"/>
          <w:szCs w:val="22"/>
        </w:rPr>
        <w:t xml:space="preserve"> </w:t>
      </w:r>
      <w:r>
        <w:rPr>
          <w:rFonts w:ascii="Calibri" w:eastAsia="Calibri" w:hAnsi="Calibri" w:cs="Calibri"/>
          <w:sz w:val="22"/>
          <w:szCs w:val="22"/>
        </w:rPr>
        <w:t>Development of social media content and calendar for multiple platforms</w:t>
      </w:r>
      <w:r>
        <w:rPr>
          <w:rFonts w:ascii="Calibri" w:eastAsia="Calibri" w:hAnsi="Calibri" w:cs="Calibri"/>
          <w:sz w:val="22"/>
          <w:szCs w:val="22"/>
        </w:rPr>
        <w:tab/>
      </w:r>
    </w:p>
    <w:p w14:paraId="42910A56"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 xml:space="preserve">&gt; </w:t>
      </w:r>
      <w:r>
        <w:rPr>
          <w:rFonts w:ascii="Calibri" w:eastAsia="Calibri" w:hAnsi="Calibri" w:cs="Calibri"/>
          <w:sz w:val="22"/>
          <w:szCs w:val="22"/>
        </w:rPr>
        <w:t>Database management</w:t>
      </w:r>
      <w:r>
        <w:rPr>
          <w:rFonts w:ascii="Calibri" w:eastAsia="Calibri" w:hAnsi="Calibri" w:cs="Calibri"/>
          <w:sz w:val="22"/>
          <w:szCs w:val="22"/>
        </w:rPr>
        <w:tab/>
      </w:r>
      <w:r>
        <w:rPr>
          <w:rFonts w:ascii="Calibri" w:eastAsia="Calibri" w:hAnsi="Calibri" w:cs="Calibri"/>
          <w:sz w:val="22"/>
          <w:szCs w:val="22"/>
        </w:rPr>
        <w:tab/>
      </w:r>
    </w:p>
    <w:p w14:paraId="51466D18"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&gt;</w:t>
      </w:r>
      <w:r>
        <w:rPr>
          <w:rFonts w:ascii="Calibri" w:eastAsia="Calibri" w:hAnsi="Calibri" w:cs="Calibri"/>
          <w:b/>
          <w:sz w:val="22"/>
          <w:szCs w:val="22"/>
        </w:rPr>
        <w:t xml:space="preserve"> </w:t>
      </w:r>
      <w:r>
        <w:rPr>
          <w:rFonts w:ascii="Calibri" w:eastAsia="Calibri" w:hAnsi="Calibri" w:cs="Calibri"/>
          <w:sz w:val="22"/>
          <w:szCs w:val="22"/>
        </w:rPr>
        <w:t>Speakers bureau development and coordination</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15D4021F" w14:textId="77777777" w:rsidR="002B60E5" w:rsidRDefault="002B60E5" w:rsidP="002B60E5">
      <w:pPr>
        <w:widowControl/>
        <w:spacing w:before="240" w:after="240"/>
        <w:ind w:left="720" w:firstLine="720"/>
        <w:rPr>
          <w:rFonts w:ascii="Calibri" w:eastAsia="Calibri" w:hAnsi="Calibri" w:cs="Calibri"/>
          <w:sz w:val="22"/>
          <w:szCs w:val="22"/>
        </w:rPr>
      </w:pPr>
      <w:r>
        <w:rPr>
          <w:rFonts w:ascii="Calibri" w:eastAsia="Calibri" w:hAnsi="Calibri" w:cs="Calibri"/>
          <w:b/>
          <w:color w:val="009872"/>
          <w:sz w:val="22"/>
          <w:szCs w:val="22"/>
        </w:rPr>
        <w:t>&gt;</w:t>
      </w:r>
      <w:r>
        <w:rPr>
          <w:rFonts w:ascii="Calibri" w:eastAsia="Calibri" w:hAnsi="Calibri" w:cs="Calibri"/>
          <w:b/>
          <w:sz w:val="22"/>
          <w:szCs w:val="22"/>
        </w:rPr>
        <w:t xml:space="preserve"> </w:t>
      </w:r>
      <w:r>
        <w:rPr>
          <w:rFonts w:ascii="Calibri" w:eastAsia="Calibri" w:hAnsi="Calibri" w:cs="Calibri"/>
          <w:sz w:val="22"/>
          <w:szCs w:val="22"/>
        </w:rPr>
        <w:t>Media and speaker training</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214E5274" w14:textId="78705F46" w:rsidR="002B60E5" w:rsidRDefault="002B60E5" w:rsidP="00731214">
      <w:pPr>
        <w:widowControl/>
        <w:spacing w:before="240" w:after="240"/>
        <w:ind w:left="1440"/>
        <w:rPr>
          <w:rFonts w:ascii="Calibri" w:eastAsia="Calibri" w:hAnsi="Calibri" w:cs="Calibri"/>
          <w:sz w:val="22"/>
          <w:szCs w:val="22"/>
        </w:rPr>
      </w:pPr>
      <w:r>
        <w:rPr>
          <w:rFonts w:ascii="Calibri" w:eastAsia="Calibri" w:hAnsi="Calibri" w:cs="Calibri"/>
          <w:b/>
          <w:color w:val="009872"/>
          <w:sz w:val="22"/>
          <w:szCs w:val="22"/>
        </w:rPr>
        <w:t xml:space="preserve">&gt; </w:t>
      </w:r>
      <w:r>
        <w:rPr>
          <w:rFonts w:ascii="Calibri" w:eastAsia="Calibri" w:hAnsi="Calibri" w:cs="Calibri"/>
          <w:sz w:val="22"/>
          <w:szCs w:val="22"/>
        </w:rPr>
        <w:t>Development of press releases, editorial pieces, articles, newsletters, fact sheets, brochures, talking points and other targeted communications</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64B764F8" w14:textId="372AA053" w:rsidR="005C1A85" w:rsidRDefault="00121AC6">
      <w:pPr>
        <w:widowControl/>
        <w:spacing w:before="240" w:after="240"/>
        <w:rPr>
          <w:rFonts w:ascii="Calibri" w:eastAsia="Calibri" w:hAnsi="Calibri" w:cs="Calibri"/>
          <w:sz w:val="22"/>
          <w:szCs w:val="22"/>
        </w:rPr>
      </w:pPr>
      <w:r>
        <w:rPr>
          <w:rFonts w:ascii="Playfair Display" w:eastAsia="Playfair Display" w:hAnsi="Playfair Display" w:cs="Playfair Display"/>
          <w:b/>
          <w:color w:val="009872"/>
          <w:sz w:val="28"/>
          <w:szCs w:val="28"/>
        </w:rPr>
        <w:t>OUR EXPERIENCE</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6AA96FE8" w14:textId="77777777" w:rsidR="005C1A85" w:rsidRDefault="00121AC6">
      <w:pPr>
        <w:widowControl/>
        <w:spacing w:before="240" w:after="240"/>
        <w:rPr>
          <w:rFonts w:ascii="Calibri" w:eastAsia="Calibri" w:hAnsi="Calibri" w:cs="Calibri"/>
          <w:sz w:val="22"/>
          <w:szCs w:val="22"/>
        </w:rPr>
        <w:sectPr w:rsidR="005C1A85">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0" w:footer="720" w:gutter="0"/>
          <w:pgNumType w:start="1"/>
          <w:cols w:space="720"/>
          <w:titlePg/>
        </w:sectPr>
      </w:pPr>
      <w:r>
        <w:rPr>
          <w:rFonts w:ascii="Calibri" w:eastAsia="Calibri" w:hAnsi="Calibri" w:cs="Calibri"/>
          <w:sz w:val="22"/>
          <w:szCs w:val="22"/>
        </w:rPr>
        <w:t>With a long history of working with utilities and deep experience working with clients in the utility and engineering space, the opportunity to partner with ACEC-SC hits our sweet spot. The following is a sampling of clients​ ​for whom we have provided similar strategic communication services:</w:t>
      </w:r>
    </w:p>
    <w:p w14:paraId="0137141E"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​Alcoa Power Generating, Inc.</w:t>
      </w:r>
    </w:p>
    <w:p w14:paraId="058FEC29" w14:textId="29BAB5D4"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 xml:space="preserve">&gt; ​Beaufort Jasper Water &amp; Sewer Authority </w:t>
      </w:r>
    </w:p>
    <w:p w14:paraId="114AE560" w14:textId="77777777" w:rsidR="008043A0" w:rsidRDefault="008043A0" w:rsidP="008043A0">
      <w:pPr>
        <w:widowControl/>
        <w:spacing w:before="240" w:after="240"/>
        <w:rPr>
          <w:rFonts w:ascii="Calibri" w:eastAsia="Calibri" w:hAnsi="Calibri" w:cs="Calibri"/>
          <w:sz w:val="22"/>
          <w:szCs w:val="22"/>
        </w:rPr>
      </w:pPr>
      <w:r>
        <w:rPr>
          <w:rFonts w:ascii="Calibri" w:eastAsia="Calibri" w:hAnsi="Calibri" w:cs="Calibri"/>
          <w:sz w:val="22"/>
          <w:szCs w:val="22"/>
        </w:rPr>
        <w:t>&gt; Black &amp; Veatch</w:t>
      </w:r>
    </w:p>
    <w:p w14:paraId="50FB26F7" w14:textId="4DA13A76" w:rsidR="008043A0" w:rsidRDefault="008043A0">
      <w:pPr>
        <w:widowControl/>
        <w:spacing w:before="240" w:after="240"/>
        <w:rPr>
          <w:rFonts w:ascii="Calibri" w:eastAsia="Calibri" w:hAnsi="Calibri" w:cs="Calibri"/>
          <w:sz w:val="22"/>
          <w:szCs w:val="22"/>
        </w:rPr>
      </w:pPr>
      <w:r>
        <w:rPr>
          <w:rFonts w:ascii="Calibri" w:eastAsia="Calibri" w:hAnsi="Calibri" w:cs="Calibri"/>
          <w:sz w:val="22"/>
          <w:szCs w:val="22"/>
        </w:rPr>
        <w:t>&gt; ​CDM Smith</w:t>
      </w:r>
    </w:p>
    <w:p w14:paraId="7D63835C" w14:textId="0B0EC729"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​Charlotte Water</w:t>
      </w:r>
    </w:p>
    <w:p w14:paraId="6DB34F8A"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​Chem Nuclear Systems</w:t>
      </w:r>
    </w:p>
    <w:p w14:paraId="12FF495C"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​Colonial Pipeline</w:t>
      </w:r>
    </w:p>
    <w:p w14:paraId="66AE1B5F"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​Dayton Power &amp; Light</w:t>
      </w:r>
    </w:p>
    <w:p w14:paraId="49F97B49"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​Duke Energy</w:t>
      </w:r>
    </w:p>
    <w:p w14:paraId="02FB7A09"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​FP1 Strategies</w:t>
      </w:r>
    </w:p>
    <w:p w14:paraId="58FB38A5" w14:textId="6A7114D2" w:rsidR="008043A0" w:rsidRDefault="008043A0">
      <w:pPr>
        <w:widowControl/>
        <w:spacing w:before="240" w:after="240"/>
        <w:rPr>
          <w:rFonts w:ascii="Calibri" w:eastAsia="Calibri" w:hAnsi="Calibri" w:cs="Calibri"/>
          <w:sz w:val="22"/>
          <w:szCs w:val="22"/>
        </w:rPr>
      </w:pPr>
      <w:r>
        <w:rPr>
          <w:rFonts w:ascii="Calibri" w:eastAsia="Calibri" w:hAnsi="Calibri" w:cs="Calibri"/>
          <w:sz w:val="22"/>
          <w:szCs w:val="22"/>
        </w:rPr>
        <w:t xml:space="preserve">&gt; ​Gavel and Dorn </w:t>
      </w:r>
    </w:p>
    <w:p w14:paraId="04856EEF" w14:textId="3C49096C"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​Growth Energy</w:t>
      </w:r>
    </w:p>
    <w:p w14:paraId="0DFD7B21"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​Mid Carolina Electric Cooperative</w:t>
      </w:r>
    </w:p>
    <w:p w14:paraId="2B656526"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​Pike Electric</w:t>
      </w:r>
    </w:p>
    <w:p w14:paraId="6BE61AB3"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​Pirelli Energy</w:t>
      </w:r>
    </w:p>
    <w:p w14:paraId="759B3232"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​Pirelli Superconductivity</w:t>
      </w:r>
    </w:p>
    <w:p w14:paraId="5DE19B07"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​Sanders Utility</w:t>
      </w:r>
    </w:p>
    <w:p w14:paraId="330546EB"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​Santee Cooper</w:t>
      </w:r>
    </w:p>
    <w:p w14:paraId="47CF9B3C"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​SCANA</w:t>
      </w:r>
    </w:p>
    <w:p w14:paraId="0283260A"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​SC Electric Cooperatives</w:t>
      </w:r>
    </w:p>
    <w:p w14:paraId="7C570DEB"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lastRenderedPageBreak/>
        <w:t>&gt; ​Shell Oil Company</w:t>
      </w:r>
    </w:p>
    <w:p w14:paraId="32BDEABC"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​South Carolina Electric &amp; Gas</w:t>
      </w:r>
    </w:p>
    <w:p w14:paraId="3AE2EA2A"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​The Energy Authority</w:t>
      </w:r>
    </w:p>
    <w:p w14:paraId="2E3E2C1E"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​Tri County Electric Cooperative</w:t>
      </w:r>
    </w:p>
    <w:p w14:paraId="55E01874"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&gt; ​Waste Management</w:t>
      </w:r>
    </w:p>
    <w:p w14:paraId="222F5317" w14:textId="137C7C56" w:rsidR="008043A0" w:rsidRDefault="008043A0">
      <w:pPr>
        <w:widowControl/>
        <w:spacing w:before="240" w:after="240"/>
        <w:rPr>
          <w:rFonts w:ascii="Calibri" w:eastAsia="Calibri" w:hAnsi="Calibri" w:cs="Calibri"/>
          <w:sz w:val="22"/>
          <w:szCs w:val="22"/>
        </w:rPr>
        <w:sectPr w:rsidR="008043A0">
          <w:type w:val="continuous"/>
          <w:pgSz w:w="12240" w:h="15840"/>
          <w:pgMar w:top="720" w:right="720" w:bottom="720" w:left="720" w:header="0" w:footer="720" w:gutter="0"/>
          <w:cols w:num="2" w:space="720" w:equalWidth="0">
            <w:col w:w="5040" w:space="720"/>
            <w:col w:w="5040" w:space="0"/>
          </w:cols>
        </w:sectPr>
      </w:pPr>
      <w:r>
        <w:rPr>
          <w:rFonts w:ascii="Calibri" w:eastAsia="Calibri" w:hAnsi="Calibri" w:cs="Calibri"/>
          <w:sz w:val="22"/>
          <w:szCs w:val="22"/>
        </w:rPr>
        <w:t>&gt; ​WSP America</w:t>
      </w:r>
    </w:p>
    <w:p w14:paraId="0C936B2E" w14:textId="77777777" w:rsidR="005C1A85" w:rsidRDefault="005C1A85">
      <w:pPr>
        <w:widowControl/>
        <w:spacing w:before="0" w:after="0"/>
        <w:rPr>
          <w:rFonts w:ascii="Arial" w:eastAsia="Arial" w:hAnsi="Arial" w:cs="Arial"/>
          <w:color w:val="009872"/>
          <w:sz w:val="22"/>
          <w:szCs w:val="22"/>
        </w:rPr>
      </w:pPr>
    </w:p>
    <w:p w14:paraId="0E8384AD" w14:textId="32A31367" w:rsidR="005C1A85" w:rsidRDefault="00121AC6">
      <w:pPr>
        <w:rPr>
          <w:rFonts w:ascii="Playfair Display" w:eastAsia="Playfair Display" w:hAnsi="Playfair Display" w:cs="Playfair Display"/>
          <w:b/>
          <w:color w:val="009872"/>
          <w:sz w:val="40"/>
          <w:szCs w:val="40"/>
        </w:rPr>
      </w:pPr>
      <w:r>
        <w:rPr>
          <w:rFonts w:ascii="Playfair Display" w:eastAsia="Playfair Display" w:hAnsi="Playfair Display" w:cs="Playfair Display"/>
          <w:b/>
          <w:color w:val="009872"/>
          <w:sz w:val="40"/>
          <w:szCs w:val="40"/>
        </w:rPr>
        <w:t>STRATEGY FOR ACEC-SC</w:t>
      </w:r>
    </w:p>
    <w:p w14:paraId="6685A6D4" w14:textId="12F2C214" w:rsidR="005C1A85" w:rsidRDefault="002B60E5">
      <w:pPr>
        <w:widowControl/>
        <w:spacing w:before="240" w:after="240"/>
        <w:rPr>
          <w:rFonts w:ascii="Calibri" w:eastAsia="Calibri" w:hAnsi="Calibri" w:cs="Calibri"/>
          <w:sz w:val="22"/>
          <w:szCs w:val="22"/>
        </w:rPr>
      </w:pPr>
      <w:r>
        <w:rPr>
          <w:rFonts w:ascii="Calibri" w:eastAsia="Calibri" w:hAnsi="Calibri" w:cs="Calibri"/>
          <w:sz w:val="22"/>
          <w:szCs w:val="22"/>
        </w:rPr>
        <w:t xml:space="preserve">While we have begun to get a general understanding of ACEC-SC and its objectives and aspirations from the RFP and the </w:t>
      </w:r>
      <w:r w:rsidR="00EF5C08">
        <w:rPr>
          <w:rFonts w:ascii="Calibri" w:eastAsia="Calibri" w:hAnsi="Calibri" w:cs="Calibri"/>
          <w:sz w:val="22"/>
          <w:szCs w:val="22"/>
        </w:rPr>
        <w:t>one-hour</w:t>
      </w:r>
      <w:r>
        <w:rPr>
          <w:rFonts w:ascii="Calibri" w:eastAsia="Calibri" w:hAnsi="Calibri" w:cs="Calibri"/>
          <w:sz w:val="22"/>
          <w:szCs w:val="22"/>
        </w:rPr>
        <w:t xml:space="preserve"> discussion with its leadership, we do not have the depth or detail of information to responsibly propose specific solutions to meet your objectives. </w:t>
      </w:r>
      <w:r w:rsidR="00192EF5">
        <w:rPr>
          <w:rFonts w:ascii="Calibri" w:eastAsia="Calibri" w:hAnsi="Calibri" w:cs="Calibri"/>
          <w:sz w:val="22"/>
          <w:szCs w:val="22"/>
        </w:rPr>
        <w:t>W</w:t>
      </w:r>
      <w:r>
        <w:rPr>
          <w:rFonts w:ascii="Calibri" w:eastAsia="Calibri" w:hAnsi="Calibri" w:cs="Calibri"/>
          <w:sz w:val="22"/>
          <w:szCs w:val="22"/>
        </w:rPr>
        <w:t>e have many proven strategies and tactics we know to be successful from previous experience</w:t>
      </w:r>
      <w:r w:rsidR="00192EF5">
        <w:rPr>
          <w:rFonts w:ascii="Calibri" w:eastAsia="Calibri" w:hAnsi="Calibri" w:cs="Calibri"/>
          <w:sz w:val="22"/>
          <w:szCs w:val="22"/>
        </w:rPr>
        <w:t>. However, i</w:t>
      </w:r>
      <w:r w:rsidR="00121AC6">
        <w:rPr>
          <w:rFonts w:ascii="Calibri" w:eastAsia="Calibri" w:hAnsi="Calibri" w:cs="Calibri"/>
          <w:sz w:val="22"/>
          <w:szCs w:val="22"/>
        </w:rPr>
        <w:t>n order to</w:t>
      </w:r>
      <w:r w:rsidR="004C1401">
        <w:rPr>
          <w:rFonts w:ascii="Calibri" w:eastAsia="Calibri" w:hAnsi="Calibri" w:cs="Calibri"/>
          <w:sz w:val="22"/>
          <w:szCs w:val="22"/>
        </w:rPr>
        <w:t xml:space="preserve"> </w:t>
      </w:r>
      <w:r w:rsidR="004C1401" w:rsidRPr="00192EF5">
        <w:rPr>
          <w:rFonts w:ascii="Calibri" w:eastAsia="Calibri" w:hAnsi="Calibri" w:cs="Calibri"/>
          <w:sz w:val="22"/>
          <w:szCs w:val="22"/>
        </w:rPr>
        <w:t>better understand and begin to develop a strategic partnership with ACEC-SC</w:t>
      </w:r>
      <w:r w:rsidR="00121AC6">
        <w:rPr>
          <w:rFonts w:ascii="Calibri" w:eastAsia="Calibri" w:hAnsi="Calibri" w:cs="Calibri"/>
          <w:sz w:val="22"/>
          <w:szCs w:val="22"/>
        </w:rPr>
        <w:t>, we recommend first conducting a two-hour strategy session with ACEC-SC leadership. Chernoff Newman’s senior counselors</w:t>
      </w:r>
      <w:r>
        <w:rPr>
          <w:rFonts w:ascii="Calibri" w:eastAsia="Calibri" w:hAnsi="Calibri" w:cs="Calibri"/>
          <w:sz w:val="22"/>
          <w:szCs w:val="22"/>
        </w:rPr>
        <w:t>, including Rick Silver and Peter LaMotte,</w:t>
      </w:r>
      <w:r w:rsidR="00121AC6">
        <w:rPr>
          <w:rFonts w:ascii="Calibri" w:eastAsia="Calibri" w:hAnsi="Calibri" w:cs="Calibri"/>
          <w:sz w:val="22"/>
          <w:szCs w:val="22"/>
        </w:rPr>
        <w:t xml:space="preserve"> will work directly with ACEC-SC to better </w:t>
      </w:r>
      <w:r w:rsidR="008043A0" w:rsidRPr="00192EF5">
        <w:rPr>
          <w:rFonts w:ascii="Calibri" w:eastAsia="Calibri" w:hAnsi="Calibri" w:cs="Calibri"/>
          <w:sz w:val="22"/>
          <w:szCs w:val="22"/>
        </w:rPr>
        <w:t>identify and</w:t>
      </w:r>
      <w:r w:rsidR="008043A0">
        <w:rPr>
          <w:rFonts w:ascii="Calibri" w:eastAsia="Calibri" w:hAnsi="Calibri" w:cs="Calibri"/>
          <w:sz w:val="22"/>
          <w:szCs w:val="22"/>
        </w:rPr>
        <w:t xml:space="preserve"> </w:t>
      </w:r>
      <w:r w:rsidR="00121AC6">
        <w:rPr>
          <w:rFonts w:ascii="Calibri" w:eastAsia="Calibri" w:hAnsi="Calibri" w:cs="Calibri"/>
          <w:sz w:val="22"/>
          <w:szCs w:val="22"/>
        </w:rPr>
        <w:t xml:space="preserve">understand the Council’s goals, member companies and industry landscape. </w:t>
      </w:r>
    </w:p>
    <w:p w14:paraId="305E05E2" w14:textId="41C88065"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Based on the RFP shared with Chernoff Newman, the major components of the strategy session are</w:t>
      </w:r>
      <w:r w:rsidR="008043A0">
        <w:rPr>
          <w:rFonts w:ascii="Calibri" w:eastAsia="Calibri" w:hAnsi="Calibri" w:cs="Calibri"/>
          <w:sz w:val="22"/>
          <w:szCs w:val="22"/>
        </w:rPr>
        <w:t xml:space="preserve"> to </w:t>
      </w:r>
      <w:r w:rsidR="008043A0" w:rsidRPr="00192EF5">
        <w:rPr>
          <w:rFonts w:ascii="Calibri" w:eastAsia="Calibri" w:hAnsi="Calibri" w:cs="Calibri"/>
          <w:sz w:val="22"/>
          <w:szCs w:val="22"/>
        </w:rPr>
        <w:t>begin to identify</w:t>
      </w:r>
      <w:r w:rsidR="008043A0">
        <w:rPr>
          <w:rFonts w:ascii="Calibri" w:eastAsia="Calibri" w:hAnsi="Calibri" w:cs="Calibri"/>
          <w:sz w:val="22"/>
          <w:szCs w:val="22"/>
        </w:rPr>
        <w:t>:</w:t>
      </w:r>
    </w:p>
    <w:p w14:paraId="2214740A" w14:textId="7D4CB539" w:rsidR="005C1A85" w:rsidRDefault="008043A0">
      <w:pPr>
        <w:widowControl/>
        <w:numPr>
          <w:ilvl w:val="0"/>
          <w:numId w:val="1"/>
        </w:numPr>
        <w:spacing w:before="240" w:after="0"/>
        <w:rPr>
          <w:rFonts w:ascii="Calibri" w:eastAsia="Calibri" w:hAnsi="Calibri" w:cs="Calibri"/>
          <w:sz w:val="22"/>
          <w:szCs w:val="22"/>
        </w:rPr>
      </w:pPr>
      <w:r>
        <w:rPr>
          <w:rFonts w:ascii="Calibri" w:eastAsia="Calibri" w:hAnsi="Calibri" w:cs="Calibri"/>
          <w:sz w:val="22"/>
          <w:szCs w:val="22"/>
        </w:rPr>
        <w:t>W</w:t>
      </w:r>
      <w:r w:rsidR="00121AC6">
        <w:rPr>
          <w:rFonts w:ascii="Calibri" w:eastAsia="Calibri" w:hAnsi="Calibri" w:cs="Calibri"/>
          <w:sz w:val="22"/>
          <w:szCs w:val="22"/>
        </w:rPr>
        <w:t>ays to amplify ACEC-SC’s public affairs efforts to current member companies to raise both awareness of, and investment in, the PAC.</w:t>
      </w:r>
    </w:p>
    <w:p w14:paraId="05B45B4F" w14:textId="02D1397B" w:rsidR="005C1A85" w:rsidRDefault="00121AC6">
      <w:pPr>
        <w:widowControl/>
        <w:numPr>
          <w:ilvl w:val="0"/>
          <w:numId w:val="1"/>
        </w:numPr>
        <w:spacing w:before="0" w:after="0"/>
        <w:rPr>
          <w:rFonts w:ascii="Calibri" w:eastAsia="Calibri" w:hAnsi="Calibri" w:cs="Calibri"/>
          <w:sz w:val="22"/>
          <w:szCs w:val="22"/>
        </w:rPr>
      </w:pPr>
      <w:r>
        <w:rPr>
          <w:rFonts w:ascii="Calibri" w:eastAsia="Calibri" w:hAnsi="Calibri" w:cs="Calibri"/>
          <w:sz w:val="22"/>
          <w:szCs w:val="22"/>
        </w:rPr>
        <w:t>ACEC-SC’s desired relationship and involvement with the South Carolina General Assembly and means of increasing interaction.</w:t>
      </w:r>
    </w:p>
    <w:p w14:paraId="731F9799" w14:textId="77777777" w:rsidR="005C1A85" w:rsidRDefault="00121AC6">
      <w:pPr>
        <w:widowControl/>
        <w:numPr>
          <w:ilvl w:val="0"/>
          <w:numId w:val="1"/>
        </w:numPr>
        <w:spacing w:before="0" w:after="0"/>
        <w:rPr>
          <w:rFonts w:ascii="Calibri" w:eastAsia="Calibri" w:hAnsi="Calibri" w:cs="Calibri"/>
          <w:sz w:val="22"/>
          <w:szCs w:val="22"/>
        </w:rPr>
      </w:pPr>
      <w:r>
        <w:rPr>
          <w:rFonts w:ascii="Calibri" w:eastAsia="Calibri" w:hAnsi="Calibri" w:cs="Calibri"/>
          <w:sz w:val="22"/>
          <w:szCs w:val="22"/>
        </w:rPr>
        <w:t>Public relations strategies to raise awareness of ACEC-SC to its members, potential member companies and the public.</w:t>
      </w:r>
    </w:p>
    <w:p w14:paraId="1E07C7BD" w14:textId="156EA2A4" w:rsidR="005C1A85" w:rsidRDefault="00121AC6">
      <w:pPr>
        <w:widowControl/>
        <w:numPr>
          <w:ilvl w:val="0"/>
          <w:numId w:val="1"/>
        </w:numPr>
        <w:spacing w:before="0" w:after="0"/>
        <w:rPr>
          <w:rFonts w:ascii="Calibri" w:eastAsia="Calibri" w:hAnsi="Calibri" w:cs="Calibri"/>
          <w:sz w:val="22"/>
          <w:szCs w:val="22"/>
        </w:rPr>
      </w:pPr>
      <w:r>
        <w:rPr>
          <w:rFonts w:ascii="Calibri" w:eastAsia="Calibri" w:hAnsi="Calibri" w:cs="Calibri"/>
          <w:sz w:val="22"/>
          <w:szCs w:val="22"/>
        </w:rPr>
        <w:t>Strategies to increase ACEC-SC's value to member companies.</w:t>
      </w:r>
    </w:p>
    <w:p w14:paraId="2B865A94" w14:textId="77777777" w:rsidR="005C1A85" w:rsidRDefault="00121AC6">
      <w:pPr>
        <w:widowControl/>
        <w:numPr>
          <w:ilvl w:val="0"/>
          <w:numId w:val="1"/>
        </w:numPr>
        <w:spacing w:before="0" w:after="0"/>
        <w:rPr>
          <w:rFonts w:ascii="Calibri" w:eastAsia="Calibri" w:hAnsi="Calibri" w:cs="Calibri"/>
          <w:sz w:val="22"/>
          <w:szCs w:val="22"/>
        </w:rPr>
      </w:pPr>
      <w:r>
        <w:rPr>
          <w:rFonts w:ascii="Calibri" w:eastAsia="Calibri" w:hAnsi="Calibri" w:cs="Calibri"/>
          <w:sz w:val="22"/>
          <w:szCs w:val="22"/>
        </w:rPr>
        <w:t>Fundraising efforts and new methods to increase investment.</w:t>
      </w:r>
    </w:p>
    <w:p w14:paraId="5FB4CB8C" w14:textId="14AE6996" w:rsidR="00786AB4" w:rsidRPr="00786AB4" w:rsidRDefault="00121AC6" w:rsidP="00786AB4">
      <w:pPr>
        <w:widowControl/>
        <w:numPr>
          <w:ilvl w:val="0"/>
          <w:numId w:val="1"/>
        </w:numPr>
        <w:spacing w:before="0" w:after="240"/>
        <w:jc w:val="both"/>
        <w:rPr>
          <w:rFonts w:ascii="Calibri" w:eastAsia="Calibri" w:hAnsi="Calibri" w:cs="Calibri"/>
          <w:sz w:val="22"/>
          <w:szCs w:val="22"/>
        </w:rPr>
      </w:pPr>
      <w:r>
        <w:rPr>
          <w:rFonts w:ascii="Calibri" w:eastAsia="Calibri" w:hAnsi="Calibri" w:cs="Calibri"/>
          <w:sz w:val="22"/>
          <w:szCs w:val="22"/>
        </w:rPr>
        <w:t>New member recruitment and tactics to bolster engagement with potential member companies</w:t>
      </w:r>
      <w:r w:rsidR="00731214">
        <w:rPr>
          <w:rFonts w:ascii="Calibri" w:eastAsia="Calibri" w:hAnsi="Calibri" w:cs="Calibri"/>
          <w:sz w:val="22"/>
          <w:szCs w:val="22"/>
        </w:rPr>
        <w:t>.</w:t>
      </w:r>
    </w:p>
    <w:p w14:paraId="622E4978" w14:textId="77777777" w:rsidR="00786AB4" w:rsidRDefault="00786AB4">
      <w:pPr>
        <w:widowControl/>
        <w:spacing w:before="0" w:after="0"/>
        <w:rPr>
          <w:rFonts w:ascii="Calibri" w:eastAsia="Calibri" w:hAnsi="Calibri" w:cs="Calibri"/>
          <w:color w:val="009872"/>
          <w:sz w:val="28"/>
          <w:szCs w:val="28"/>
        </w:rPr>
      </w:pPr>
    </w:p>
    <w:p w14:paraId="770B7CB2" w14:textId="773C5FA6" w:rsidR="005C1A85" w:rsidRDefault="00BB3E7F">
      <w:pPr>
        <w:widowControl/>
        <w:spacing w:before="0" w:after="0"/>
        <w:rPr>
          <w:rFonts w:ascii="Calibri" w:eastAsia="Calibri" w:hAnsi="Calibri" w:cs="Calibri"/>
          <w:color w:val="009872"/>
          <w:sz w:val="28"/>
          <w:szCs w:val="28"/>
        </w:rPr>
      </w:pPr>
      <w:r w:rsidRPr="00731214">
        <w:rPr>
          <w:rFonts w:ascii="Calibri" w:eastAsia="Calibri" w:hAnsi="Calibri" w:cs="Calibri"/>
          <w:color w:val="009872"/>
          <w:sz w:val="28"/>
          <w:szCs w:val="28"/>
        </w:rPr>
        <w:t>POINT OF CONTACT FOR THIS PROJECT:</w:t>
      </w:r>
    </w:p>
    <w:p w14:paraId="2DD83D1D" w14:textId="77777777" w:rsidR="00BB3E7F" w:rsidRDefault="00BB3E7F">
      <w:pPr>
        <w:widowControl/>
        <w:spacing w:before="0" w:after="0"/>
        <w:rPr>
          <w:rFonts w:ascii="Arial" w:eastAsia="Arial" w:hAnsi="Arial" w:cs="Arial"/>
          <w:b/>
          <w:sz w:val="22"/>
          <w:szCs w:val="22"/>
        </w:rPr>
      </w:pPr>
    </w:p>
    <w:p w14:paraId="0EBBAE01" w14:textId="77777777" w:rsidR="005C1A85" w:rsidRDefault="00121AC6">
      <w:pPr>
        <w:widowControl/>
        <w:spacing w:before="0" w:after="0"/>
        <w:rPr>
          <w:rFonts w:ascii="Arial" w:eastAsia="Arial" w:hAnsi="Arial" w:cs="Arial"/>
          <w:sz w:val="22"/>
          <w:szCs w:val="22"/>
        </w:rPr>
      </w:pPr>
      <w:r>
        <w:rPr>
          <w:rFonts w:ascii="Arial" w:eastAsia="Arial" w:hAnsi="Arial" w:cs="Arial"/>
          <w:sz w:val="22"/>
          <w:szCs w:val="22"/>
        </w:rPr>
        <w:t>NICK MURRAY</w:t>
      </w:r>
    </w:p>
    <w:p w14:paraId="510F2139" w14:textId="77777777" w:rsidR="005C1A85" w:rsidRDefault="005C1A85">
      <w:pPr>
        <w:widowControl/>
        <w:spacing w:before="0" w:after="0"/>
        <w:rPr>
          <w:rFonts w:ascii="Arial" w:eastAsia="Arial" w:hAnsi="Arial" w:cs="Arial"/>
          <w:sz w:val="22"/>
          <w:szCs w:val="22"/>
        </w:rPr>
      </w:pPr>
    </w:p>
    <w:p w14:paraId="4C7A5EC6" w14:textId="77777777" w:rsidR="005C1A85" w:rsidRDefault="00121AC6">
      <w:pPr>
        <w:widowControl/>
        <w:spacing w:before="0" w:after="0"/>
        <w:rPr>
          <w:rFonts w:ascii="Arial" w:eastAsia="Arial" w:hAnsi="Arial" w:cs="Arial"/>
          <w:sz w:val="22"/>
          <w:szCs w:val="22"/>
        </w:rPr>
      </w:pPr>
      <w:r>
        <w:rPr>
          <w:rFonts w:ascii="Arial" w:eastAsia="Arial" w:hAnsi="Arial" w:cs="Arial"/>
          <w:sz w:val="22"/>
          <w:szCs w:val="22"/>
        </w:rPr>
        <w:t xml:space="preserve">E: </w:t>
      </w:r>
      <w:hyperlink r:id="rId14">
        <w:r>
          <w:rPr>
            <w:rFonts w:ascii="Arial" w:eastAsia="Arial" w:hAnsi="Arial" w:cs="Arial"/>
            <w:color w:val="1155CC"/>
            <w:sz w:val="22"/>
            <w:szCs w:val="22"/>
            <w:u w:val="single"/>
          </w:rPr>
          <w:t>Nick.Murray@ChernoffNewman.com</w:t>
        </w:r>
      </w:hyperlink>
    </w:p>
    <w:p w14:paraId="0D92AE52" w14:textId="77777777" w:rsidR="005C1A85" w:rsidRDefault="00121AC6">
      <w:pPr>
        <w:widowControl/>
        <w:spacing w:before="0" w:after="0"/>
        <w:rPr>
          <w:rFonts w:ascii="Calibri" w:eastAsia="Calibri" w:hAnsi="Calibri" w:cs="Calibri"/>
          <w:color w:val="009872"/>
          <w:sz w:val="28"/>
          <w:szCs w:val="28"/>
        </w:rPr>
      </w:pPr>
      <w:r>
        <w:rPr>
          <w:rFonts w:ascii="Arial" w:eastAsia="Arial" w:hAnsi="Arial" w:cs="Arial"/>
          <w:sz w:val="22"/>
          <w:szCs w:val="22"/>
        </w:rPr>
        <w:t>M: 803-521-1197</w:t>
      </w:r>
    </w:p>
    <w:p w14:paraId="4F3631D7" w14:textId="77777777" w:rsidR="005C1A85" w:rsidRDefault="005C1A85">
      <w:pPr>
        <w:widowControl/>
        <w:spacing w:before="0" w:after="0"/>
        <w:rPr>
          <w:rFonts w:ascii="Calibri" w:eastAsia="Calibri" w:hAnsi="Calibri" w:cs="Calibri"/>
          <w:color w:val="009872"/>
          <w:sz w:val="28"/>
          <w:szCs w:val="28"/>
        </w:rPr>
      </w:pPr>
    </w:p>
    <w:p w14:paraId="08C91280" w14:textId="77777777" w:rsidR="00786AB4" w:rsidRDefault="00786AB4">
      <w:pPr>
        <w:rPr>
          <w:rFonts w:ascii="Playfair Display" w:eastAsia="Playfair Display" w:hAnsi="Playfair Display" w:cs="Playfair Display"/>
          <w:b/>
          <w:color w:val="009872"/>
          <w:sz w:val="40"/>
          <w:szCs w:val="40"/>
        </w:rPr>
      </w:pPr>
      <w:r>
        <w:rPr>
          <w:rFonts w:ascii="Playfair Display" w:eastAsia="Playfair Display" w:hAnsi="Playfair Display" w:cs="Playfair Display"/>
          <w:b/>
          <w:color w:val="009872"/>
          <w:sz w:val="40"/>
          <w:szCs w:val="40"/>
        </w:rPr>
        <w:br w:type="page"/>
      </w:r>
    </w:p>
    <w:p w14:paraId="6CAB6839" w14:textId="02155E23" w:rsidR="005C1A85" w:rsidRDefault="00121AC6">
      <w:pPr>
        <w:widowControl/>
        <w:spacing w:before="240" w:after="240"/>
        <w:rPr>
          <w:rFonts w:ascii="Playfair Display" w:eastAsia="Playfair Display" w:hAnsi="Playfair Display" w:cs="Playfair Display"/>
          <w:b/>
          <w:color w:val="009872"/>
          <w:sz w:val="40"/>
          <w:szCs w:val="40"/>
        </w:rPr>
      </w:pPr>
      <w:r>
        <w:rPr>
          <w:rFonts w:ascii="Playfair Display" w:eastAsia="Playfair Display" w:hAnsi="Playfair Display" w:cs="Playfair Display"/>
          <w:b/>
          <w:color w:val="009872"/>
          <w:sz w:val="40"/>
          <w:szCs w:val="40"/>
        </w:rPr>
        <w:lastRenderedPageBreak/>
        <w:t>PRICING</w:t>
      </w:r>
    </w:p>
    <w:p w14:paraId="6B21AED0" w14:textId="4DA8350A" w:rsidR="00232498" w:rsidRDefault="00232498">
      <w:pPr>
        <w:widowControl/>
        <w:spacing w:before="240" w:after="240"/>
        <w:rPr>
          <w:rFonts w:ascii="Calibri" w:eastAsia="Calibri" w:hAnsi="Calibri" w:cs="Calibri"/>
          <w:color w:val="009872"/>
          <w:sz w:val="22"/>
          <w:szCs w:val="22"/>
        </w:rPr>
      </w:pPr>
      <w:r>
        <w:rPr>
          <w:rFonts w:ascii="Calibri" w:eastAsia="Calibri" w:hAnsi="Calibri" w:cs="Calibri"/>
          <w:color w:val="009872"/>
          <w:sz w:val="22"/>
          <w:szCs w:val="22"/>
        </w:rPr>
        <w:t>Discovery Session</w:t>
      </w:r>
    </w:p>
    <w:p w14:paraId="49079AFF" w14:textId="1D65DFFC" w:rsidR="00232498" w:rsidRPr="00232498" w:rsidRDefault="00232498">
      <w:pPr>
        <w:widowControl/>
        <w:spacing w:before="240" w:after="240"/>
        <w:rPr>
          <w:rFonts w:ascii="Calibri" w:eastAsia="Calibri" w:hAnsi="Calibri" w:cs="Calibri"/>
          <w:color w:val="000000" w:themeColor="text1"/>
          <w:sz w:val="22"/>
          <w:szCs w:val="22"/>
        </w:rPr>
      </w:pPr>
      <w:r w:rsidRPr="00232498">
        <w:rPr>
          <w:rFonts w:ascii="Calibri" w:eastAsia="Calibri" w:hAnsi="Calibri" w:cs="Calibri"/>
          <w:color w:val="000000" w:themeColor="text1"/>
          <w:sz w:val="22"/>
          <w:szCs w:val="22"/>
        </w:rPr>
        <w:t xml:space="preserve">There will be no charge for the Discovery Session. Chernoff Newman considers this to be an investment in the relationship. </w:t>
      </w:r>
    </w:p>
    <w:p w14:paraId="1670F11F" w14:textId="1265205C" w:rsidR="005C1A85" w:rsidRDefault="00232498">
      <w:pPr>
        <w:widowControl/>
        <w:spacing w:before="240" w:after="240"/>
        <w:rPr>
          <w:rFonts w:ascii="Calibri" w:eastAsia="Calibri" w:hAnsi="Calibri" w:cs="Calibri"/>
          <w:color w:val="009872"/>
          <w:sz w:val="22"/>
          <w:szCs w:val="22"/>
        </w:rPr>
      </w:pPr>
      <w:r>
        <w:rPr>
          <w:rFonts w:ascii="Calibri" w:eastAsia="Calibri" w:hAnsi="Calibri" w:cs="Calibri"/>
          <w:color w:val="009872"/>
          <w:sz w:val="22"/>
          <w:szCs w:val="22"/>
        </w:rPr>
        <w:t>Monthly Retainer</w:t>
      </w:r>
      <w:r w:rsidR="00121AC6">
        <w:rPr>
          <w:rFonts w:ascii="Calibri" w:eastAsia="Calibri" w:hAnsi="Calibri" w:cs="Calibri"/>
          <w:color w:val="009872"/>
          <w:sz w:val="22"/>
          <w:szCs w:val="22"/>
        </w:rPr>
        <w:t>:</w:t>
      </w:r>
    </w:p>
    <w:p w14:paraId="05DEF148" w14:textId="1F4F82FE"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Pricing: $2,500 / month minimum retainer</w:t>
      </w:r>
      <w:r w:rsidR="002B60E5">
        <w:rPr>
          <w:rFonts w:ascii="Calibri" w:eastAsia="Calibri" w:hAnsi="Calibri" w:cs="Calibri"/>
          <w:sz w:val="22"/>
          <w:szCs w:val="22"/>
        </w:rPr>
        <w:t xml:space="preserve"> for an initial period of six months</w:t>
      </w:r>
      <w:r>
        <w:rPr>
          <w:rFonts w:ascii="Calibri" w:eastAsia="Calibri" w:hAnsi="Calibri" w:cs="Calibri"/>
          <w:sz w:val="22"/>
          <w:szCs w:val="22"/>
        </w:rPr>
        <w:t xml:space="preserve">. Client </w:t>
      </w:r>
      <w:r w:rsidR="00232498">
        <w:rPr>
          <w:rFonts w:ascii="Calibri" w:eastAsia="Calibri" w:hAnsi="Calibri" w:cs="Calibri"/>
          <w:sz w:val="22"/>
          <w:szCs w:val="22"/>
        </w:rPr>
        <w:t xml:space="preserve">will be </w:t>
      </w:r>
      <w:r>
        <w:rPr>
          <w:rFonts w:ascii="Calibri" w:eastAsia="Calibri" w:hAnsi="Calibri" w:cs="Calibri"/>
          <w:sz w:val="22"/>
          <w:szCs w:val="22"/>
        </w:rPr>
        <w:t xml:space="preserve">billed hourly after </w:t>
      </w:r>
      <w:r w:rsidR="00232498">
        <w:rPr>
          <w:rFonts w:ascii="Calibri" w:eastAsia="Calibri" w:hAnsi="Calibri" w:cs="Calibri"/>
          <w:sz w:val="22"/>
          <w:szCs w:val="22"/>
        </w:rPr>
        <w:t xml:space="preserve">the </w:t>
      </w:r>
      <w:r>
        <w:rPr>
          <w:rFonts w:ascii="Calibri" w:eastAsia="Calibri" w:hAnsi="Calibri" w:cs="Calibri"/>
          <w:sz w:val="22"/>
          <w:szCs w:val="22"/>
        </w:rPr>
        <w:t>$2,500 threshold</w:t>
      </w:r>
      <w:r w:rsidR="00232498">
        <w:rPr>
          <w:rFonts w:ascii="Calibri" w:eastAsia="Calibri" w:hAnsi="Calibri" w:cs="Calibri"/>
          <w:sz w:val="22"/>
          <w:szCs w:val="22"/>
        </w:rPr>
        <w:t xml:space="preserve"> is met </w:t>
      </w:r>
      <w:r w:rsidR="00232498" w:rsidRPr="002B60E5">
        <w:rPr>
          <w:rFonts w:ascii="Calibri" w:eastAsia="Calibri" w:hAnsi="Calibri" w:cs="Calibri"/>
          <w:sz w:val="22"/>
          <w:szCs w:val="22"/>
        </w:rPr>
        <w:t>(a schedule of hourly rates follows)</w:t>
      </w:r>
      <w:r w:rsidRPr="002B60E5">
        <w:rPr>
          <w:rFonts w:ascii="Calibri" w:eastAsia="Calibri" w:hAnsi="Calibri" w:cs="Calibri"/>
          <w:sz w:val="22"/>
          <w:szCs w:val="22"/>
        </w:rPr>
        <w:t>.</w:t>
      </w:r>
      <w:r>
        <w:rPr>
          <w:rFonts w:ascii="Calibri" w:eastAsia="Calibri" w:hAnsi="Calibri" w:cs="Calibri"/>
          <w:sz w:val="22"/>
          <w:szCs w:val="22"/>
        </w:rPr>
        <w:t xml:space="preserve"> </w:t>
      </w:r>
    </w:p>
    <w:p w14:paraId="2A1E56A4" w14:textId="23916466" w:rsidR="00EF5C08" w:rsidRDefault="00EF5C08">
      <w:pPr>
        <w:widowControl/>
        <w:spacing w:before="240" w:after="240"/>
        <w:rPr>
          <w:rFonts w:ascii="Calibri" w:eastAsia="Calibri" w:hAnsi="Calibri" w:cs="Calibri"/>
          <w:sz w:val="22"/>
          <w:szCs w:val="22"/>
        </w:rPr>
      </w:pPr>
      <w:r>
        <w:rPr>
          <w:rFonts w:ascii="Calibri" w:eastAsia="Calibri" w:hAnsi="Calibri" w:cs="Calibri"/>
          <w:sz w:val="22"/>
          <w:szCs w:val="22"/>
        </w:rPr>
        <w:t xml:space="preserve">The retainer will begin </w:t>
      </w:r>
      <w:r w:rsidR="00192EF5">
        <w:rPr>
          <w:rFonts w:ascii="Calibri" w:eastAsia="Calibri" w:hAnsi="Calibri" w:cs="Calibri"/>
          <w:sz w:val="22"/>
          <w:szCs w:val="22"/>
        </w:rPr>
        <w:t>after</w:t>
      </w:r>
      <w:r>
        <w:rPr>
          <w:rFonts w:ascii="Calibri" w:eastAsia="Calibri" w:hAnsi="Calibri" w:cs="Calibri"/>
          <w:sz w:val="22"/>
          <w:szCs w:val="22"/>
        </w:rPr>
        <w:t xml:space="preserve"> </w:t>
      </w:r>
      <w:r w:rsidR="00192EF5">
        <w:rPr>
          <w:rFonts w:ascii="Calibri" w:eastAsia="Calibri" w:hAnsi="Calibri" w:cs="Calibri"/>
          <w:sz w:val="22"/>
          <w:szCs w:val="22"/>
        </w:rPr>
        <w:t>the completion</w:t>
      </w:r>
      <w:r>
        <w:rPr>
          <w:rFonts w:ascii="Calibri" w:eastAsia="Calibri" w:hAnsi="Calibri" w:cs="Calibri"/>
          <w:sz w:val="22"/>
          <w:szCs w:val="22"/>
        </w:rPr>
        <w:t xml:space="preserve"> of the Discovery Session. </w:t>
      </w:r>
    </w:p>
    <w:p w14:paraId="73914194" w14:textId="684E97B1" w:rsidR="00232498" w:rsidRPr="002B60E5" w:rsidRDefault="00232498">
      <w:pPr>
        <w:widowControl/>
        <w:spacing w:before="240" w:after="240"/>
        <w:rPr>
          <w:rFonts w:ascii="Calibri" w:eastAsia="Calibri" w:hAnsi="Calibri" w:cs="Calibri"/>
          <w:sz w:val="22"/>
          <w:szCs w:val="22"/>
        </w:rPr>
      </w:pPr>
      <w:r w:rsidRPr="002B60E5">
        <w:rPr>
          <w:rFonts w:ascii="Calibri" w:eastAsia="Calibri" w:hAnsi="Calibri" w:cs="Calibri"/>
          <w:sz w:val="22"/>
          <w:szCs w:val="22"/>
        </w:rPr>
        <w:t>Chernoff Newman will provide estimates and get approval from ACEC-SC before beginning work on any projects.</w:t>
      </w:r>
    </w:p>
    <w:p w14:paraId="54DB016A" w14:textId="4D67688C"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 xml:space="preserve">*Chernoff Newman will charge a 15% commission on media placed and a 20% markup on all </w:t>
      </w:r>
      <w:r w:rsidR="002B60E5">
        <w:rPr>
          <w:rFonts w:ascii="Calibri" w:eastAsia="Calibri" w:hAnsi="Calibri" w:cs="Calibri"/>
          <w:sz w:val="22"/>
          <w:szCs w:val="22"/>
        </w:rPr>
        <w:t>third-party</w:t>
      </w:r>
      <w:r>
        <w:rPr>
          <w:rFonts w:ascii="Calibri" w:eastAsia="Calibri" w:hAnsi="Calibri" w:cs="Calibri"/>
          <w:sz w:val="22"/>
          <w:szCs w:val="22"/>
        </w:rPr>
        <w:t xml:space="preserve"> costs. </w:t>
      </w:r>
      <w:r>
        <w:rPr>
          <w:rFonts w:ascii="Calibri" w:eastAsia="Calibri" w:hAnsi="Calibri" w:cs="Calibri"/>
          <w:sz w:val="22"/>
          <w:szCs w:val="22"/>
        </w:rPr>
        <w:tab/>
      </w:r>
    </w:p>
    <w:p w14:paraId="649E77F9"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b/>
          <w:sz w:val="22"/>
          <w:szCs w:val="22"/>
        </w:rPr>
        <w:t>Schedule of Hourly Rates</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2E6D7050"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Strategic Consulting</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$225</w:t>
      </w:r>
    </w:p>
    <w:p w14:paraId="377A7345"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Crisis Management</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$225</w:t>
      </w:r>
    </w:p>
    <w:p w14:paraId="6FA4FF78"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Public Relations</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$150</w:t>
      </w:r>
    </w:p>
    <w:p w14:paraId="27E9A3E5"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 xml:space="preserve">Senior Account Management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$150</w:t>
      </w:r>
    </w:p>
    <w:p w14:paraId="49414110"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 xml:space="preserve">Account Management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$125</w:t>
      </w:r>
    </w:p>
    <w:p w14:paraId="6769D77B"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Project Management</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$125</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627C6D43"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Social Strategy</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$150</w:t>
      </w:r>
    </w:p>
    <w:p w14:paraId="5A788C8A"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Social Implementation</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$125</w:t>
      </w:r>
    </w:p>
    <w:p w14:paraId="5DB464DF"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 xml:space="preserve">Media Strategy &amp; Reporting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$135</w:t>
      </w:r>
    </w:p>
    <w:p w14:paraId="6C8E9793"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Creative Direction</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$150</w:t>
      </w:r>
    </w:p>
    <w:p w14:paraId="3559D711"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Senior Art Direction</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$135</w:t>
      </w:r>
    </w:p>
    <w:p w14:paraId="529C79F9"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Art Direction</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$125</w:t>
      </w:r>
    </w:p>
    <w:p w14:paraId="58001448"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Senior Copywriting</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$135</w:t>
      </w:r>
    </w:p>
    <w:p w14:paraId="1616EB4C"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 xml:space="preserve">Interactive Design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$135</w:t>
      </w:r>
    </w:p>
    <w:p w14:paraId="084D6D9F" w14:textId="77777777" w:rsidR="005C1A85" w:rsidRDefault="00121AC6">
      <w:pPr>
        <w:widowControl/>
        <w:spacing w:before="240" w:after="240"/>
        <w:rPr>
          <w:rFonts w:ascii="Calibri" w:eastAsia="Calibri" w:hAnsi="Calibri" w:cs="Calibri"/>
          <w:sz w:val="22"/>
          <w:szCs w:val="22"/>
        </w:rPr>
      </w:pPr>
      <w:r>
        <w:rPr>
          <w:rFonts w:ascii="Calibri" w:eastAsia="Calibri" w:hAnsi="Calibri" w:cs="Calibri"/>
          <w:sz w:val="22"/>
          <w:szCs w:val="22"/>
        </w:rPr>
        <w:t xml:space="preserve">Interactive Programming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$125</w:t>
      </w:r>
      <w:r>
        <w:rPr>
          <w:rFonts w:ascii="Calibri" w:eastAsia="Calibri" w:hAnsi="Calibri" w:cs="Calibri"/>
          <w:sz w:val="22"/>
          <w:szCs w:val="22"/>
        </w:rPr>
        <w:tab/>
      </w:r>
    </w:p>
    <w:sectPr w:rsidR="005C1A85">
      <w:type w:val="continuous"/>
      <w:pgSz w:w="12240" w:h="15840"/>
      <w:pgMar w:top="720" w:right="720" w:bottom="720" w:left="72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F6602" w14:textId="77777777" w:rsidR="00B930B6" w:rsidRDefault="00B930B6">
      <w:pPr>
        <w:spacing w:before="0" w:after="0" w:line="240" w:lineRule="auto"/>
      </w:pPr>
      <w:r>
        <w:separator/>
      </w:r>
    </w:p>
  </w:endnote>
  <w:endnote w:type="continuationSeparator" w:id="0">
    <w:p w14:paraId="1D4B1C44" w14:textId="77777777" w:rsidR="00B930B6" w:rsidRDefault="00B930B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Playfair Display">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B10CE" w14:textId="77777777" w:rsidR="00147A0C" w:rsidRDefault="00147A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6183A" w14:textId="77777777" w:rsidR="005C1A85" w:rsidRDefault="005C1A85">
    <w:pPr>
      <w:widowControl/>
      <w:spacing w:before="0" w:after="0"/>
      <w:rPr>
        <w:color w:val="B7B7B7"/>
        <w:sz w:val="16"/>
        <w:szCs w:val="16"/>
      </w:rPr>
    </w:pPr>
  </w:p>
  <w:p w14:paraId="418C1F52" w14:textId="77777777" w:rsidR="005C1A85" w:rsidRDefault="005C1A85">
    <w:pPr>
      <w:widowControl/>
      <w:spacing w:before="0" w:after="0"/>
      <w:rPr>
        <w:color w:val="B7B7B7"/>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311A5" w14:textId="77777777" w:rsidR="00147A0C" w:rsidRDefault="00147A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CF881" w14:textId="77777777" w:rsidR="00B930B6" w:rsidRDefault="00B930B6">
      <w:pPr>
        <w:spacing w:before="0" w:after="0" w:line="240" w:lineRule="auto"/>
      </w:pPr>
      <w:r>
        <w:separator/>
      </w:r>
    </w:p>
  </w:footnote>
  <w:footnote w:type="continuationSeparator" w:id="0">
    <w:p w14:paraId="2361418C" w14:textId="77777777" w:rsidR="00B930B6" w:rsidRDefault="00B930B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521A" w14:textId="77777777" w:rsidR="00147A0C" w:rsidRDefault="00147A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F47F7" w14:textId="77777777" w:rsidR="00147A0C" w:rsidRDefault="00147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BA0C0" w14:textId="77777777" w:rsidR="00147A0C" w:rsidRDefault="00147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51495C"/>
    <w:multiLevelType w:val="multilevel"/>
    <w:tmpl w:val="2278BB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A85"/>
    <w:rsid w:val="00121AC6"/>
    <w:rsid w:val="00147A0C"/>
    <w:rsid w:val="00192EF5"/>
    <w:rsid w:val="00232498"/>
    <w:rsid w:val="002B60E5"/>
    <w:rsid w:val="003D4F46"/>
    <w:rsid w:val="004652FC"/>
    <w:rsid w:val="004C1401"/>
    <w:rsid w:val="005B75DC"/>
    <w:rsid w:val="005C1A85"/>
    <w:rsid w:val="00731214"/>
    <w:rsid w:val="00786AB4"/>
    <w:rsid w:val="008043A0"/>
    <w:rsid w:val="00B930B6"/>
    <w:rsid w:val="00BB3E7F"/>
    <w:rsid w:val="00BC562F"/>
    <w:rsid w:val="00EF5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CC689"/>
  <w15:docId w15:val="{A05874AA-89D9-1B4E-8EA3-4D94CB6F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ource Sans Pro" w:eastAsia="Source Sans Pro" w:hAnsi="Source Sans Pro" w:cs="Source Sans Pro"/>
        <w:sz w:val="24"/>
        <w:szCs w:val="24"/>
        <w:lang w:val="en-US" w:eastAsia="en-US" w:bidi="ar-SA"/>
      </w:rPr>
    </w:rPrDefault>
    <w:pPrDefault>
      <w:pPr>
        <w:widowControl w:val="0"/>
        <w:spacing w:before="80" w:after="8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95"/>
      <w:outlineLvl w:val="0"/>
    </w:pPr>
    <w:rPr>
      <w:rFonts w:ascii="Playfair Display" w:eastAsia="Playfair Display" w:hAnsi="Playfair Display" w:cs="Playfair Display"/>
      <w:b/>
      <w:color w:val="EAB573"/>
      <w:sz w:val="40"/>
      <w:szCs w:val="4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00" w:after="200"/>
      <w:outlineLvl w:val="1"/>
    </w:pPr>
    <w:rPr>
      <w:rFonts w:ascii="Playfair Display" w:eastAsia="Playfair Display" w:hAnsi="Playfair Display" w:cs="Playfair Display"/>
      <w:b/>
      <w:sz w:val="28"/>
      <w:szCs w:val="28"/>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00" w:after="200"/>
      <w:outlineLvl w:val="2"/>
    </w:pPr>
    <w:rPr>
      <w:b/>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00" w:after="200"/>
      <w:outlineLvl w:val="3"/>
    </w:pPr>
    <w:rPr>
      <w:rFonts w:ascii="Times New Roman" w:eastAsia="Times New Roman" w:hAnsi="Times New Roman" w:cs="Times New Roman"/>
      <w:i/>
      <w:color w:val="4F81BD"/>
      <w:sz w:val="32"/>
      <w:szCs w:val="32"/>
    </w:rPr>
  </w:style>
  <w:style w:type="paragraph" w:styleId="Heading5">
    <w:name w:val="heading 5"/>
    <w:basedOn w:val="Normal"/>
    <w:next w:val="Normal"/>
    <w:uiPriority w:val="9"/>
    <w:semiHidden/>
    <w:unhideWhenUsed/>
    <w:qFormat/>
    <w:pPr>
      <w:pBdr>
        <w:top w:val="nil"/>
        <w:left w:val="nil"/>
        <w:bottom w:val="nil"/>
        <w:right w:val="nil"/>
        <w:between w:val="nil"/>
      </w:pBdr>
      <w:spacing w:before="0" w:after="200"/>
      <w:outlineLvl w:val="4"/>
    </w:pPr>
    <w:rPr>
      <w:rFonts w:ascii="Times New Roman" w:eastAsia="Times New Roman" w:hAnsi="Times New Roman" w:cs="Times New Roman"/>
      <w:color w:val="000000"/>
      <w:sz w:val="28"/>
      <w:szCs w:val="28"/>
    </w:rPr>
  </w:style>
  <w:style w:type="paragraph" w:styleId="Heading6">
    <w:name w:val="heading 6"/>
    <w:basedOn w:val="Normal"/>
    <w:next w:val="Normal"/>
    <w:uiPriority w:val="9"/>
    <w:semiHidden/>
    <w:unhideWhenUsed/>
    <w:qFormat/>
    <w:pPr>
      <w:pBdr>
        <w:top w:val="nil"/>
        <w:left w:val="nil"/>
        <w:bottom w:val="nil"/>
        <w:right w:val="nil"/>
        <w:between w:val="nil"/>
      </w:pBdr>
      <w:spacing w:before="0" w:after="200"/>
      <w:outlineLvl w:val="5"/>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0" w:after="300"/>
      <w:jc w:val="center"/>
    </w:pPr>
    <w:rPr>
      <w:rFonts w:ascii="Playfair Display" w:eastAsia="Playfair Display" w:hAnsi="Playfair Display" w:cs="Playfair Display"/>
      <w:sz w:val="72"/>
      <w:szCs w:val="72"/>
    </w:rPr>
  </w:style>
  <w:style w:type="paragraph" w:styleId="Subtitle">
    <w:name w:val="Subtitle"/>
    <w:basedOn w:val="Normal"/>
    <w:next w:val="Normal"/>
    <w:uiPriority w:val="11"/>
    <w:qFormat/>
    <w:pPr>
      <w:spacing w:before="0" w:after="200"/>
      <w:ind w:left="86"/>
    </w:pPr>
    <w:rPr>
      <w:rFonts w:ascii="Playfair Display" w:eastAsia="Playfair Display" w:hAnsi="Playfair Display" w:cs="Playfair Display"/>
    </w:rPr>
  </w:style>
  <w:style w:type="paragraph" w:styleId="Header">
    <w:name w:val="header"/>
    <w:basedOn w:val="Normal"/>
    <w:link w:val="HeaderChar"/>
    <w:uiPriority w:val="99"/>
    <w:unhideWhenUsed/>
    <w:rsid w:val="00147A0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47A0C"/>
  </w:style>
  <w:style w:type="paragraph" w:styleId="Footer">
    <w:name w:val="footer"/>
    <w:basedOn w:val="Normal"/>
    <w:link w:val="FooterChar"/>
    <w:uiPriority w:val="99"/>
    <w:unhideWhenUsed/>
    <w:rsid w:val="00147A0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4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Nick.Murray@ChernoffNewm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jones</cp:lastModifiedBy>
  <cp:revision>2</cp:revision>
  <dcterms:created xsi:type="dcterms:W3CDTF">2021-04-23T12:56:00Z</dcterms:created>
  <dcterms:modified xsi:type="dcterms:W3CDTF">2021-04-23T12:56:00Z</dcterms:modified>
</cp:coreProperties>
</file>